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F4E79"/>
          <w:sz w:val="28"/>
        </w:rPr>
        <w:t>ACTE NECESARE PENTRU SOLICITAREA UNEI LOCUINȚE DIN FONDUL LOCATIV</w:t>
      </w:r>
    </w:p>
    <w:p>
      <w:pPr>
        <w:spacing w:after="120"/>
        <w:jc w:val="center"/>
      </w:pPr>
      <w:r>
        <w:rPr>
          <w:i/>
          <w:color w:val="646464"/>
          <w:sz w:val="17"/>
        </w:rPr>
        <w:t>Fond locativ al Orașului Băile Govora – listă de documente pentru întocmirea dosarului</w:t>
      </w:r>
    </w:p>
    <w:p>
      <w:pPr>
        <w:spacing w:after="60"/>
        <w:jc w:val="both"/>
      </w:pPr>
      <w:r>
        <w:rPr>
          <w:sz w:val="19"/>
        </w:rPr>
        <w:t>Pentru analizarea unei cereri privind repartizarea unei locuințe din fondul locativ al Orașului Băile Govora, solicitantul va depune o cerere însoțită, după caz, de documentele justificative de mai jos. Lista este adaptată după modelul utilizat de Municipiul Sighișoara și va fi aplicată în concordanță cu regulamentul și hotărârile Consiliului Local Băile Govora în vigoare.</w:t>
      </w:r>
    </w:p>
    <w:p>
      <w:pPr>
        <w:spacing w:before="80" w:after="40"/>
      </w:pPr>
      <w:r>
        <w:rPr>
          <w:b/>
          <w:color w:val="1F4E79"/>
          <w:sz w:val="21"/>
        </w:rPr>
        <w:t>Documente necesare</w:t>
      </w:r>
    </w:p>
    <w:p>
      <w:pPr>
        <w:spacing w:after="32" w:line="235" w:lineRule="auto"/>
        <w:ind w:left="312" w:hanging="198"/>
        <w:jc w:val="both"/>
      </w:pPr>
      <w:r>
        <w:rPr>
          <w:sz w:val="18"/>
        </w:rPr>
        <w:t>1.  Cerere pentru obținerea/repartizarea unei locuințe din fondul locativ, datată și semnată de solicitant.</w:t>
      </w:r>
    </w:p>
    <w:p>
      <w:pPr>
        <w:spacing w:after="32" w:line="235" w:lineRule="auto"/>
        <w:ind w:left="312" w:hanging="198"/>
        <w:jc w:val="both"/>
      </w:pPr>
      <w:r>
        <w:rPr>
          <w:sz w:val="18"/>
        </w:rPr>
        <w:t>2.  Declarații pe propria răspundere, autentificate la notar, ale solicitantului și, după caz, ale soțului/soției și ale celorlalți membri majori ai familiei, din care să rezulte situația locativă și îndeplinirea condițiilor prevăzute de regulamentul local; în modelul Sighișoara declarațiile privesc, între altele, nedeținerea unei locuințe în proprietate/coproprietate, neînstrăinarea unei locuințe după 1 ianuarie 1990, nebeneficierea de sprijinul statului pentru realizarea unei locuințe și faptul că solicitantul nu este chiriașul unei alte locuințe aparținând fondului locativ local.</w:t>
      </w:r>
    </w:p>
    <w:p>
      <w:pPr>
        <w:spacing w:after="32" w:line="235" w:lineRule="auto"/>
        <w:ind w:left="312" w:hanging="198"/>
        <w:jc w:val="both"/>
      </w:pPr>
      <w:r>
        <w:rPr>
          <w:sz w:val="18"/>
        </w:rPr>
        <w:t>3.  Acte doveditoare privind veniturile realizate în ultimele 12 luni pentru fiecare membru major al familiei: adeverință de venit net, cupon de pensie, cupon de alocație/indemnizație, documente privind ajutoarele sociale ori alte venituri, după caz.</w:t>
      </w:r>
    </w:p>
    <w:p>
      <w:pPr>
        <w:spacing w:after="32" w:line="235" w:lineRule="auto"/>
        <w:ind w:left="312" w:hanging="198"/>
        <w:jc w:val="both"/>
      </w:pPr>
      <w:r>
        <w:rPr>
          <w:sz w:val="18"/>
        </w:rPr>
        <w:t>4.  Pentru persoanele care nu realizează venituri: declarație pe propria răspundere/autentificată, după caz, privind lipsa veniturilor; pentru perioadele nelucrate se vor prezenta documente/declarații care să clarifice situația veniturilor.</w:t>
      </w:r>
    </w:p>
    <w:p>
      <w:pPr>
        <w:spacing w:after="32" w:line="235" w:lineRule="auto"/>
        <w:ind w:left="312" w:hanging="198"/>
        <w:jc w:val="both"/>
      </w:pPr>
      <w:r>
        <w:rPr>
          <w:sz w:val="18"/>
        </w:rPr>
        <w:t>5.  Copii ale actelor de identitate ale solicitantului și ale membrilor familiei, după caz.</w:t>
      </w:r>
    </w:p>
    <w:p>
      <w:pPr>
        <w:spacing w:after="32" w:line="235" w:lineRule="auto"/>
        <w:ind w:left="312" w:hanging="198"/>
        <w:jc w:val="both"/>
      </w:pPr>
      <w:r>
        <w:rPr>
          <w:sz w:val="18"/>
        </w:rPr>
        <w:t>6.  Copii ale certificatelor de naștere ale solicitantului și ale membrilor familiei, după caz.</w:t>
      </w:r>
    </w:p>
    <w:p>
      <w:pPr>
        <w:spacing w:after="32" w:line="235" w:lineRule="auto"/>
        <w:ind w:left="312" w:hanging="198"/>
        <w:jc w:val="both"/>
      </w:pPr>
      <w:r>
        <w:rPr>
          <w:sz w:val="18"/>
        </w:rPr>
        <w:t>7.  Copie a certificatului de căsătorie, dacă este cazul.</w:t>
      </w:r>
    </w:p>
    <w:p>
      <w:pPr>
        <w:spacing w:after="32" w:line="235" w:lineRule="auto"/>
        <w:ind w:left="312" w:hanging="198"/>
        <w:jc w:val="both"/>
      </w:pPr>
      <w:r>
        <w:rPr>
          <w:sz w:val="18"/>
        </w:rPr>
        <w:t>8.  Copie a hotărârii/certificatului de divorț definitiv, dacă este cazul.</w:t>
      </w:r>
    </w:p>
    <w:p>
      <w:pPr>
        <w:spacing w:after="32" w:line="235" w:lineRule="auto"/>
        <w:ind w:left="312" w:hanging="198"/>
        <w:jc w:val="both"/>
      </w:pPr>
      <w:r>
        <w:rPr>
          <w:sz w:val="18"/>
        </w:rPr>
        <w:t>9.  Certificate/acte medicale care atestă o afecțiune gravă a solicitantului sau a unui membru al familiei și, dacă este cazul, necesitatea unui însoțitor ori a unei camere în plus, potrivit reglementărilor aplicabile.</w:t>
      </w:r>
    </w:p>
    <w:p>
      <w:pPr>
        <w:spacing w:after="32" w:line="235" w:lineRule="auto"/>
        <w:ind w:left="312" w:hanging="198"/>
        <w:jc w:val="both"/>
      </w:pPr>
      <w:r>
        <w:rPr>
          <w:sz w:val="18"/>
        </w:rPr>
        <w:t>10.  Copii ale actelor de identitate ale persoanelor care locuiesc în același imobil cu solicitantul, atunci când acesta locuiește împreună cu părinți, rude sau alte persoane și această situație este relevantă pentru stabilirea condițiilor locative.</w:t>
      </w:r>
    </w:p>
    <w:p>
      <w:pPr>
        <w:spacing w:after="32" w:line="235" w:lineRule="auto"/>
        <w:ind w:left="312" w:hanging="198"/>
        <w:jc w:val="both"/>
      </w:pPr>
      <w:r>
        <w:rPr>
          <w:sz w:val="18"/>
        </w:rPr>
        <w:t>11.  Copie a contractului de închiriere, dacă solicitantul locuiește cu chirie, ori alte documente din care rezultă situația locativă actuală.</w:t>
      </w:r>
    </w:p>
    <w:p>
      <w:pPr>
        <w:spacing w:after="32" w:line="235" w:lineRule="auto"/>
        <w:ind w:left="312" w:hanging="198"/>
        <w:jc w:val="both"/>
      </w:pPr>
      <w:r>
        <w:rPr>
          <w:sz w:val="18"/>
        </w:rPr>
        <w:t>12.  Alte documente solicitate de compartimentul de specialitate pentru clarificarea situației locative, familiale, patrimoniale sau a veniturilor, în funcție de criteriile aprobate de Consiliul Local.</w:t>
      </w:r>
    </w:p>
    <w:p>
      <w:pPr>
        <w:spacing w:before="80" w:after="40"/>
      </w:pPr>
      <w:r>
        <w:rPr>
          <w:b/>
          <w:color w:val="1F4E79"/>
          <w:sz w:val="21"/>
        </w:rPr>
        <w:t>Precizări</w:t>
      </w:r>
    </w:p>
    <w:p>
      <w:pPr>
        <w:spacing w:after="32" w:line="235" w:lineRule="auto"/>
        <w:ind w:left="312" w:hanging="198"/>
        <w:jc w:val="both"/>
      </w:pPr>
      <w:r>
        <w:rPr>
          <w:sz w:val="18"/>
        </w:rPr>
        <w:t>•  Copiile documentelor pot fi solicitate împreună cu originalele pentru certificarea conformității, dacă procedura locală prevede acest lucru.</w:t>
      </w:r>
    </w:p>
    <w:p>
      <w:pPr>
        <w:spacing w:after="32" w:line="235" w:lineRule="auto"/>
        <w:ind w:left="312" w:hanging="198"/>
        <w:jc w:val="both"/>
      </w:pPr>
      <w:r>
        <w:rPr>
          <w:sz w:val="18"/>
        </w:rPr>
        <w:t>•  Solicitantul are obligația de a comunica modificările intervenite în componența familiei, venituri, domiciliu/reședință sau situația locativă și de a actualiza documentele din dosar.</w:t>
      </w:r>
    </w:p>
    <w:p>
      <w:pPr>
        <w:spacing w:after="32" w:line="235" w:lineRule="auto"/>
        <w:ind w:left="312" w:hanging="198"/>
        <w:jc w:val="both"/>
      </w:pPr>
      <w:r>
        <w:rPr>
          <w:sz w:val="18"/>
        </w:rPr>
        <w:t>•  Îndeplinirea condițiilor și ordinea de prioritate se stabilesc exclusiv potrivit legislației și criteriilor aprobate la nivel local; depunerea dosarului nu echivalează cu repartizarea unei locuințe.</w:t>
      </w:r>
    </w:p>
    <w:p>
      <w:pPr>
        <w:spacing w:before="80" w:after="40"/>
      </w:pPr>
      <w:r>
        <w:rPr>
          <w:b/>
          <w:color w:val="1F4E79"/>
          <w:sz w:val="21"/>
        </w:rPr>
        <w:t>Date de contact</w:t>
      </w:r>
    </w:p>
    <w:tbl>
      <w:tblPr>
        <w:tblW w:type="auto" w:w="0"/>
        <w:jc w:val="center"/>
        <w:tblLayout w:type="fixed"/>
        <w:tblLook w:firstColumn="1" w:firstRow="1" w:lastColumn="0" w:lastRow="0" w:noHBand="0" w:noVBand="1" w:val="04A0"/>
      </w:tblPr>
      <w:tblGrid>
        <w:gridCol w:w="5043"/>
        <w:gridCol w:w="5043"/>
      </w:tblGrid>
      <w:tr>
        <w:tc>
          <w:tcPr>
            <w:tcW w:type="dxa" w:w="2891"/>
            <w:shd w:fill="F2F7F8"/>
            <w:tcMar>
              <w:top w:w="80" w:type="dxa"/>
              <w:start w:w="90" w:type="dxa"/>
              <w:bottom w:w="80" w:type="dxa"/>
              <w:end w:w="90" w:type="dxa"/>
            </w:tcMar>
            <w:vAlign w:val="center"/>
          </w:tcPr>
          <w:p>
            <w:pPr>
              <w:spacing w:after="0"/>
            </w:pPr>
            <w:r>
              <w:rPr>
                <w:b/>
                <w:sz w:val="16"/>
              </w:rPr>
              <w:t>Compartiment</w:t>
            </w:r>
          </w:p>
        </w:tc>
        <w:tc>
          <w:tcPr>
            <w:tcW w:type="dxa" w:w="6520"/>
            <w:tcMar>
              <w:top w:w="80" w:type="dxa"/>
              <w:start w:w="90" w:type="dxa"/>
              <w:bottom w:w="80" w:type="dxa"/>
              <w:end w:w="90" w:type="dxa"/>
            </w:tcMar>
            <w:vAlign w:val="center"/>
          </w:tcPr>
          <w:p>
            <w:pPr>
              <w:spacing w:after="0"/>
            </w:pPr>
            <w:r>
              <w:rPr>
                <w:sz w:val="16"/>
              </w:rPr>
              <w:t>Compartimentul Administrarea Domeniului Public și Privat</w:t>
            </w:r>
          </w:p>
        </w:tc>
      </w:tr>
      <w:tr>
        <w:tc>
          <w:tcPr>
            <w:tcW w:type="dxa" w:w="2891"/>
            <w:shd w:fill="F2F7F8"/>
            <w:tcMar>
              <w:top w:w="80" w:type="dxa"/>
              <w:start w:w="90" w:type="dxa"/>
              <w:bottom w:w="80" w:type="dxa"/>
              <w:end w:w="90" w:type="dxa"/>
            </w:tcMar>
            <w:vAlign w:val="center"/>
          </w:tcPr>
          <w:p>
            <w:pPr>
              <w:spacing w:after="0"/>
            </w:pPr>
            <w:r>
              <w:rPr>
                <w:b/>
                <w:sz w:val="16"/>
              </w:rPr>
              <w:t>Sediu</w:t>
            </w:r>
          </w:p>
        </w:tc>
        <w:tc>
          <w:tcPr>
            <w:tcW w:type="dxa" w:w="6520"/>
            <w:tcMar>
              <w:top w:w="80" w:type="dxa"/>
              <w:start w:w="90" w:type="dxa"/>
              <w:bottom w:w="80" w:type="dxa"/>
              <w:end w:w="90" w:type="dxa"/>
            </w:tcMar>
            <w:vAlign w:val="center"/>
          </w:tcPr>
          <w:p>
            <w:pPr>
              <w:spacing w:after="0"/>
            </w:pPr>
            <w:r>
              <w:rPr>
                <w:sz w:val="16"/>
              </w:rPr>
              <w:t>Str. Tudor Vladimirescu, nr. 95, Băile Govora, cod 245200, județul Vâlcea</w:t>
            </w:r>
          </w:p>
        </w:tc>
      </w:tr>
      <w:tr>
        <w:tc>
          <w:tcPr>
            <w:tcW w:type="dxa" w:w="2891"/>
            <w:shd w:fill="F2F7F8"/>
            <w:tcMar>
              <w:top w:w="80" w:type="dxa"/>
              <w:start w:w="90" w:type="dxa"/>
              <w:bottom w:w="80" w:type="dxa"/>
              <w:end w:w="90" w:type="dxa"/>
            </w:tcMar>
            <w:vAlign w:val="center"/>
          </w:tcPr>
          <w:p>
            <w:pPr>
              <w:spacing w:after="0"/>
            </w:pPr>
            <w:r>
              <w:rPr>
                <w:b/>
                <w:sz w:val="16"/>
              </w:rPr>
              <w:t>Telefon</w:t>
            </w:r>
          </w:p>
        </w:tc>
        <w:tc>
          <w:tcPr>
            <w:tcW w:type="dxa" w:w="6520"/>
            <w:tcMar>
              <w:top w:w="80" w:type="dxa"/>
              <w:start w:w="90" w:type="dxa"/>
              <w:bottom w:w="80" w:type="dxa"/>
              <w:end w:w="90" w:type="dxa"/>
            </w:tcMar>
            <w:vAlign w:val="center"/>
          </w:tcPr>
          <w:p>
            <w:pPr>
              <w:spacing w:after="0"/>
            </w:pPr>
            <w:r>
              <w:rPr>
                <w:sz w:val="16"/>
              </w:rPr>
              <w:t>0250 770 460</w:t>
            </w:r>
          </w:p>
        </w:tc>
      </w:tr>
      <w:tr>
        <w:tc>
          <w:tcPr>
            <w:tcW w:type="dxa" w:w="2891"/>
            <w:shd w:fill="F2F7F8"/>
            <w:tcMar>
              <w:top w:w="80" w:type="dxa"/>
              <w:start w:w="90" w:type="dxa"/>
              <w:bottom w:w="80" w:type="dxa"/>
              <w:end w:w="90" w:type="dxa"/>
            </w:tcMar>
            <w:vAlign w:val="center"/>
          </w:tcPr>
          <w:p>
            <w:pPr>
              <w:spacing w:after="0"/>
            </w:pPr>
            <w:r>
              <w:rPr>
                <w:b/>
                <w:sz w:val="16"/>
              </w:rPr>
              <w:t>E-mail</w:t>
            </w:r>
          </w:p>
        </w:tc>
        <w:tc>
          <w:tcPr>
            <w:tcW w:type="dxa" w:w="6520"/>
            <w:tcMar>
              <w:top w:w="80" w:type="dxa"/>
              <w:start w:w="90" w:type="dxa"/>
              <w:bottom w:w="80" w:type="dxa"/>
              <w:end w:w="90" w:type="dxa"/>
            </w:tcMar>
            <w:vAlign w:val="center"/>
          </w:tcPr>
          <w:p>
            <w:pPr>
              <w:spacing w:after="0"/>
            </w:pPr>
            <w:r>
              <w:rPr>
                <w:sz w:val="16"/>
              </w:rPr>
              <w:t>primaria@primaria-baile-govora.ro</w:t>
            </w:r>
          </w:p>
        </w:tc>
      </w:tr>
      <w:tr>
        <w:tc>
          <w:tcPr>
            <w:tcW w:type="dxa" w:w="2891"/>
            <w:shd w:fill="F2F7F8"/>
            <w:tcMar>
              <w:top w:w="80" w:type="dxa"/>
              <w:start w:w="90" w:type="dxa"/>
              <w:bottom w:w="80" w:type="dxa"/>
              <w:end w:w="90" w:type="dxa"/>
            </w:tcMar>
            <w:vAlign w:val="center"/>
          </w:tcPr>
          <w:p>
            <w:pPr>
              <w:spacing w:after="0"/>
            </w:pPr>
            <w:r>
              <w:rPr>
                <w:b/>
                <w:sz w:val="16"/>
              </w:rPr>
              <w:t>Website</w:t>
            </w:r>
          </w:p>
        </w:tc>
        <w:tc>
          <w:tcPr>
            <w:tcW w:type="dxa" w:w="6520"/>
            <w:tcMar>
              <w:top w:w="80" w:type="dxa"/>
              <w:start w:w="90" w:type="dxa"/>
              <w:bottom w:w="80" w:type="dxa"/>
              <w:end w:w="90" w:type="dxa"/>
            </w:tcMar>
            <w:vAlign w:val="center"/>
          </w:tcPr>
          <w:p>
            <w:pPr>
              <w:spacing w:after="0"/>
            </w:pPr>
            <w:r>
              <w:rPr>
                <w:sz w:val="16"/>
              </w:rPr>
              <w:t>www.primaria-baile-govora.ro</w:t>
            </w:r>
          </w:p>
        </w:tc>
      </w:tr>
    </w:tbl>
    <w:sectPr w:rsidR="00FC693F" w:rsidRPr="0006063C" w:rsidSect="00034616">
      <w:headerReference w:type="default" r:id="rId9"/>
      <w:footerReference w:type="default" r:id="rId10"/>
      <w:pgSz w:w="12240" w:h="15840"/>
      <w:pgMar w:top="822" w:right="1077" w:bottom="822" w:left="1077"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4"/>
      </w:rPr>
      <w:t>Document adaptat pentru Primăria Orașului Băile Govora · www.primaria-baile-govora.ro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b/>
        <w:sz w:val="16"/>
      </w:rPr>
      <w:t>ROMÂNIA · JUDEȚUL VÂLCEA</w:t>
    </w:r>
  </w:p>
  <w:p>
    <w:pPr>
      <w:spacing w:after="0"/>
      <w:jc w:val="center"/>
    </w:pPr>
    <w:r>
      <w:rPr>
        <w:b/>
        <w:color w:val="005866"/>
        <w:sz w:val="21"/>
      </w:rPr>
      <w:t>PRIMĂRIA ORAȘULUI BĂILE GOVORA</w:t>
    </w:r>
  </w:p>
  <w:p>
    <w:pPr>
      <w:spacing w:after="0"/>
      <w:jc w:val="center"/>
    </w:pPr>
    <w:r>
      <w:rPr>
        <w:b/>
        <w:sz w:val="17"/>
      </w:rPr>
      <w:t>Compartimentul Administrarea Domeniului Public și Privat</w:t>
    </w:r>
  </w:p>
  <w:p>
    <w:pPr>
      <w:spacing w:after="0"/>
      <w:jc w:val="center"/>
    </w:pPr>
    <w:r>
      <w:rPr>
        <w:color w:val="5A5A5A"/>
        <w:sz w:val="14"/>
      </w:rPr>
      <w:t>Str. Tudor Vladimirescu, nr. 95, Băile Govora, cod 245200, județul Vâlcea</w:t>
      <w:br/>
      <w:t>Telefon: 0250 770 460  |  E-mail: primaria@primaria-baile-govora.ro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